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2493"/>
        <w:gridCol w:w="2493"/>
        <w:gridCol w:w="2494"/>
        <w:gridCol w:w="2499"/>
      </w:tblGrid>
      <w:tr w:rsidR="00A50A1F" w14:paraId="554B00B2" w14:textId="77777777" w:rsidTr="007D373C">
        <w:trPr>
          <w:trHeight w:val="287"/>
        </w:trPr>
        <w:tc>
          <w:tcPr>
            <w:tcW w:w="9979" w:type="dxa"/>
            <w:gridSpan w:val="4"/>
          </w:tcPr>
          <w:p w14:paraId="554B00B1" w14:textId="77777777" w:rsidR="00A50A1F" w:rsidRPr="00A50A1F" w:rsidRDefault="00A50A1F" w:rsidP="00B135C2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STANDARD OPERATING PROCEDURES</w:t>
            </w:r>
          </w:p>
        </w:tc>
      </w:tr>
      <w:tr w:rsidR="00A50A1F" w14:paraId="554B00B4" w14:textId="77777777" w:rsidTr="007D373C">
        <w:trPr>
          <w:trHeight w:val="287"/>
        </w:trPr>
        <w:tc>
          <w:tcPr>
            <w:tcW w:w="9979" w:type="dxa"/>
            <w:gridSpan w:val="4"/>
          </w:tcPr>
          <w:p w14:paraId="554B00B3" w14:textId="0FCA4B9D" w:rsidR="00A50A1F" w:rsidRPr="00A50A1F" w:rsidRDefault="00956701" w:rsidP="000C5494">
            <w:pPr>
              <w:rPr>
                <w:smallCaps/>
                <w:sz w:val="32"/>
                <w:szCs w:val="32"/>
              </w:rPr>
            </w:pPr>
            <w:r>
              <w:rPr>
                <w:smallCaps/>
                <w:sz w:val="32"/>
                <w:szCs w:val="32"/>
              </w:rPr>
              <w:t xml:space="preserve">                                           </w:t>
            </w:r>
            <w:r w:rsidR="005414F2">
              <w:rPr>
                <w:smallCaps/>
                <w:sz w:val="32"/>
                <w:szCs w:val="32"/>
              </w:rPr>
              <w:t xml:space="preserve"> </w:t>
            </w:r>
            <w:r w:rsidR="00C9781B">
              <w:rPr>
                <w:smallCaps/>
                <w:sz w:val="32"/>
                <w:szCs w:val="32"/>
              </w:rPr>
              <w:t xml:space="preserve">   </w:t>
            </w:r>
            <w:r w:rsidR="001B4243">
              <w:rPr>
                <w:smallCaps/>
                <w:sz w:val="32"/>
                <w:szCs w:val="32"/>
              </w:rPr>
              <w:t>Lost Days without injury boards</w:t>
            </w:r>
          </w:p>
        </w:tc>
      </w:tr>
      <w:tr w:rsidR="00B135C2" w14:paraId="554B00B9" w14:textId="77777777" w:rsidTr="007D373C">
        <w:trPr>
          <w:trHeight w:val="211"/>
        </w:trPr>
        <w:tc>
          <w:tcPr>
            <w:tcW w:w="2493" w:type="dxa"/>
          </w:tcPr>
          <w:p w14:paraId="554B00B5" w14:textId="77777777" w:rsidR="00B135C2" w:rsidRPr="00A50A1F" w:rsidRDefault="00A50A1F" w:rsidP="00B1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Supersedes Policy Dated</w:t>
            </w:r>
          </w:p>
        </w:tc>
        <w:tc>
          <w:tcPr>
            <w:tcW w:w="2493" w:type="dxa"/>
          </w:tcPr>
          <w:p w14:paraId="554B00B6" w14:textId="4CC31F76" w:rsidR="00B135C2" w:rsidRDefault="00B135C2" w:rsidP="006A389D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494" w:type="dxa"/>
          </w:tcPr>
          <w:p w14:paraId="554B00B7" w14:textId="77777777" w:rsidR="00B135C2" w:rsidRPr="00A50A1F" w:rsidRDefault="00A50A1F" w:rsidP="00B1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Date</w:t>
            </w:r>
          </w:p>
        </w:tc>
        <w:tc>
          <w:tcPr>
            <w:tcW w:w="2497" w:type="dxa"/>
          </w:tcPr>
          <w:p w14:paraId="554B00B8" w14:textId="6D50DECB" w:rsidR="00A63A35" w:rsidRDefault="00A63A35" w:rsidP="00217E6A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956701" w14:paraId="7DDAD8E8" w14:textId="77777777" w:rsidTr="007D373C">
        <w:trPr>
          <w:trHeight w:val="211"/>
        </w:trPr>
        <w:tc>
          <w:tcPr>
            <w:tcW w:w="2493" w:type="dxa"/>
          </w:tcPr>
          <w:p w14:paraId="598AF096" w14:textId="77777777" w:rsidR="00956701" w:rsidRDefault="00956701" w:rsidP="00B13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</w:tcPr>
          <w:p w14:paraId="423C95F1" w14:textId="77777777" w:rsidR="00956701" w:rsidRDefault="00956701" w:rsidP="00B135C2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494" w:type="dxa"/>
          </w:tcPr>
          <w:p w14:paraId="29510429" w14:textId="242E0E3B" w:rsidR="00956701" w:rsidRDefault="006A389D" w:rsidP="00B13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6-25-19</w:t>
            </w:r>
          </w:p>
        </w:tc>
        <w:tc>
          <w:tcPr>
            <w:tcW w:w="2497" w:type="dxa"/>
          </w:tcPr>
          <w:p w14:paraId="241968EC" w14:textId="77777777" w:rsidR="00956701" w:rsidRDefault="00956701" w:rsidP="00B135C2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14:paraId="554B00BB" w14:textId="565F005C" w:rsidR="00B135C2" w:rsidRDefault="00A50A1F" w:rsidP="00B135C2">
      <w:pPr>
        <w:rPr>
          <w:sz w:val="24"/>
          <w:szCs w:val="24"/>
        </w:rPr>
      </w:pPr>
      <w:r>
        <w:rPr>
          <w:smallCaps/>
          <w:sz w:val="24"/>
          <w:szCs w:val="24"/>
        </w:rPr>
        <w:t>To: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 w:rsidR="00151B37">
        <w:rPr>
          <w:smallCaps/>
          <w:sz w:val="24"/>
          <w:szCs w:val="24"/>
        </w:rPr>
        <w:t xml:space="preserve">4WP </w:t>
      </w:r>
      <w:r w:rsidR="00151B37">
        <w:rPr>
          <w:sz w:val="24"/>
          <w:szCs w:val="24"/>
        </w:rPr>
        <w:t>r</w:t>
      </w:r>
      <w:r w:rsidR="0077718F">
        <w:rPr>
          <w:sz w:val="24"/>
          <w:szCs w:val="24"/>
        </w:rPr>
        <w:t>etail</w:t>
      </w:r>
      <w:r w:rsidR="00151B37">
        <w:rPr>
          <w:sz w:val="24"/>
          <w:szCs w:val="24"/>
        </w:rPr>
        <w:t xml:space="preserve"> locations</w:t>
      </w:r>
      <w:r>
        <w:rPr>
          <w:sz w:val="24"/>
          <w:szCs w:val="24"/>
        </w:rPr>
        <w:t xml:space="preserve"> </w:t>
      </w:r>
    </w:p>
    <w:p w14:paraId="554B00BC" w14:textId="510EDD10" w:rsidR="00A50A1F" w:rsidRDefault="00A50A1F" w:rsidP="00B135C2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F4C">
        <w:rPr>
          <w:sz w:val="24"/>
          <w:szCs w:val="24"/>
        </w:rPr>
        <w:t>Store Op</w:t>
      </w:r>
      <w:r w:rsidR="00BB00F6">
        <w:rPr>
          <w:sz w:val="24"/>
          <w:szCs w:val="24"/>
        </w:rPr>
        <w:t xml:space="preserve">erations </w:t>
      </w:r>
    </w:p>
    <w:p w14:paraId="554B00BD" w14:textId="252EDE68" w:rsidR="00A50A1F" w:rsidRDefault="00A50A1F" w:rsidP="00B135C2">
      <w:pPr>
        <w:rPr>
          <w:b/>
          <w:sz w:val="24"/>
          <w:szCs w:val="24"/>
        </w:rPr>
      </w:pPr>
      <w:r>
        <w:rPr>
          <w:sz w:val="24"/>
          <w:szCs w:val="24"/>
        </w:rPr>
        <w:t>Re Policy:</w:t>
      </w:r>
      <w:r>
        <w:rPr>
          <w:sz w:val="24"/>
          <w:szCs w:val="24"/>
        </w:rPr>
        <w:tab/>
      </w:r>
      <w:r w:rsidR="001B4243">
        <w:rPr>
          <w:b/>
          <w:sz w:val="24"/>
          <w:szCs w:val="24"/>
        </w:rPr>
        <w:t xml:space="preserve">Safety </w:t>
      </w:r>
      <w:r w:rsidR="00E35349">
        <w:rPr>
          <w:b/>
          <w:sz w:val="24"/>
          <w:szCs w:val="24"/>
        </w:rPr>
        <w:t>Goal</w:t>
      </w:r>
      <w:r w:rsidR="00D43735">
        <w:rPr>
          <w:b/>
          <w:sz w:val="24"/>
          <w:szCs w:val="24"/>
        </w:rPr>
        <w:t xml:space="preserve"> Awareness</w:t>
      </w:r>
    </w:p>
    <w:p w14:paraId="554B00BF" w14:textId="2A3B2DED" w:rsidR="004E5762" w:rsidRDefault="004E5762" w:rsidP="00EF6A5E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Purpose:</w:t>
      </w:r>
      <w:r>
        <w:rPr>
          <w:b/>
          <w:sz w:val="24"/>
          <w:szCs w:val="24"/>
        </w:rPr>
        <w:tab/>
      </w:r>
      <w:r w:rsidR="00163A7F" w:rsidRPr="0017379A">
        <w:rPr>
          <w:sz w:val="24"/>
          <w:szCs w:val="24"/>
        </w:rPr>
        <w:t>To</w:t>
      </w:r>
      <w:r w:rsidR="00001797" w:rsidRPr="0017379A">
        <w:rPr>
          <w:sz w:val="24"/>
          <w:szCs w:val="24"/>
        </w:rPr>
        <w:t xml:space="preserve"> keep </w:t>
      </w:r>
      <w:r w:rsidR="005B7170">
        <w:rPr>
          <w:sz w:val="24"/>
          <w:szCs w:val="24"/>
        </w:rPr>
        <w:t xml:space="preserve">all </w:t>
      </w:r>
      <w:r w:rsidR="00FD38B5" w:rsidRPr="0017379A">
        <w:rPr>
          <w:sz w:val="24"/>
          <w:szCs w:val="24"/>
        </w:rPr>
        <w:t>4WP</w:t>
      </w:r>
      <w:r w:rsidR="00001797" w:rsidRPr="0017379A">
        <w:rPr>
          <w:sz w:val="24"/>
          <w:szCs w:val="24"/>
        </w:rPr>
        <w:t xml:space="preserve"> Employees </w:t>
      </w:r>
      <w:r w:rsidR="00FE446B">
        <w:rPr>
          <w:sz w:val="24"/>
          <w:szCs w:val="24"/>
        </w:rPr>
        <w:t xml:space="preserve">informed </w:t>
      </w:r>
      <w:r w:rsidR="008D437A">
        <w:rPr>
          <w:sz w:val="24"/>
          <w:szCs w:val="24"/>
        </w:rPr>
        <w:t xml:space="preserve">of length of time without a recordable </w:t>
      </w:r>
      <w:r w:rsidR="001D61D2">
        <w:rPr>
          <w:sz w:val="24"/>
          <w:szCs w:val="24"/>
        </w:rPr>
        <w:t>injury. If there was a recordable injury</w:t>
      </w:r>
      <w:r w:rsidR="00DF7317">
        <w:rPr>
          <w:sz w:val="24"/>
          <w:szCs w:val="24"/>
        </w:rPr>
        <w:t xml:space="preserve">, what was </w:t>
      </w:r>
      <w:r w:rsidR="00C60D6C">
        <w:rPr>
          <w:sz w:val="24"/>
          <w:szCs w:val="24"/>
        </w:rPr>
        <w:t>it preventable?</w:t>
      </w:r>
      <w:r w:rsidR="007B4334">
        <w:rPr>
          <w:sz w:val="24"/>
          <w:szCs w:val="24"/>
        </w:rPr>
        <w:t xml:space="preserve"> This is a</w:t>
      </w:r>
      <w:r w:rsidR="00924794">
        <w:rPr>
          <w:sz w:val="24"/>
          <w:szCs w:val="24"/>
        </w:rPr>
        <w:t>n</w:t>
      </w:r>
      <w:r w:rsidR="007B4334">
        <w:rPr>
          <w:sz w:val="24"/>
          <w:szCs w:val="24"/>
        </w:rPr>
        <w:t xml:space="preserve"> area that needs the </w:t>
      </w:r>
      <w:bookmarkStart w:id="0" w:name="_GoBack"/>
      <w:r w:rsidR="007B4334">
        <w:rPr>
          <w:sz w:val="24"/>
          <w:szCs w:val="24"/>
        </w:rPr>
        <w:t>highest level of attention and focus.</w:t>
      </w:r>
    </w:p>
    <w:bookmarkEnd w:id="0"/>
    <w:p w14:paraId="39E32AA0" w14:textId="77777777" w:rsidR="00FA24C3" w:rsidRDefault="00FA24C3" w:rsidP="00D86BB5">
      <w:pPr>
        <w:tabs>
          <w:tab w:val="left" w:pos="1584"/>
        </w:tabs>
        <w:rPr>
          <w:b/>
          <w:sz w:val="24"/>
          <w:szCs w:val="24"/>
        </w:rPr>
      </w:pPr>
    </w:p>
    <w:p w14:paraId="10F05DFA" w14:textId="274C6C4A" w:rsidR="0097407D" w:rsidRDefault="0097407D" w:rsidP="00D86BB5">
      <w:pPr>
        <w:tabs>
          <w:tab w:val="left" w:pos="1584"/>
        </w:tabs>
      </w:pPr>
      <w:r>
        <w:rPr>
          <w:b/>
          <w:sz w:val="24"/>
          <w:szCs w:val="24"/>
        </w:rPr>
        <w:t>Requirements:</w:t>
      </w:r>
      <w:r>
        <w:rPr>
          <w:b/>
          <w:sz w:val="24"/>
          <w:szCs w:val="24"/>
        </w:rPr>
        <w:tab/>
      </w:r>
      <w:r w:rsidR="00D86BB5">
        <w:t xml:space="preserve">All stores </w:t>
      </w:r>
      <w:r w:rsidR="00EF0207">
        <w:t xml:space="preserve">have or will </w:t>
      </w:r>
      <w:r w:rsidR="00D86BB5">
        <w:t>re</w:t>
      </w:r>
      <w:r w:rsidR="00C663DC">
        <w:t xml:space="preserve">ceive a new “Days without injury board”. These boards </w:t>
      </w:r>
      <w:r w:rsidR="00C526F0">
        <w:t>need to be placed in a</w:t>
      </w:r>
      <w:r w:rsidR="00884779">
        <w:t>n</w:t>
      </w:r>
      <w:r w:rsidR="00C526F0">
        <w:t xml:space="preserve"> area that all employees have access to and it frequently </w:t>
      </w:r>
      <w:r w:rsidR="00941D01">
        <w:t>visited. Breakroom,</w:t>
      </w:r>
      <w:r w:rsidR="0007010C">
        <w:t xml:space="preserve"> goal board area,</w:t>
      </w:r>
      <w:r w:rsidR="00941D01">
        <w:t xml:space="preserve"> Managers office</w:t>
      </w:r>
      <w:r w:rsidR="005B0A7F">
        <w:t xml:space="preserve"> or by the computer employees use to clock in or out.</w:t>
      </w:r>
    </w:p>
    <w:p w14:paraId="0C7BF49B" w14:textId="77777777" w:rsidR="00205ADA" w:rsidRDefault="00205ADA" w:rsidP="00C64ECC">
      <w:pPr>
        <w:pStyle w:val="ListParagraph"/>
        <w:tabs>
          <w:tab w:val="left" w:pos="1584"/>
        </w:tabs>
        <w:ind w:left="2310"/>
      </w:pPr>
    </w:p>
    <w:p w14:paraId="23F2FB26" w14:textId="77777777" w:rsidR="0092607B" w:rsidRDefault="007D5578" w:rsidP="00C64ECC">
      <w:pPr>
        <w:tabs>
          <w:tab w:val="left" w:pos="15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Responsibilities</w:t>
      </w:r>
      <w:r>
        <w:rPr>
          <w:b/>
          <w:sz w:val="24"/>
          <w:szCs w:val="24"/>
        </w:rPr>
        <w:tab/>
        <w:t xml:space="preserve">: </w:t>
      </w:r>
    </w:p>
    <w:p w14:paraId="15C910D3" w14:textId="6EB5D633" w:rsidR="007D5578" w:rsidRPr="0092607B" w:rsidRDefault="00BF2047" w:rsidP="0092607B">
      <w:pPr>
        <w:pStyle w:val="ListParagraph"/>
        <w:numPr>
          <w:ilvl w:val="0"/>
          <w:numId w:val="12"/>
        </w:numPr>
        <w:tabs>
          <w:tab w:val="left" w:pos="1584"/>
        </w:tabs>
      </w:pPr>
      <w:r w:rsidRPr="0092607B">
        <w:t>If there</w:t>
      </w:r>
      <w:r w:rsidR="007076C7" w:rsidRPr="0092607B">
        <w:t>’</w:t>
      </w:r>
      <w:r w:rsidRPr="0092607B">
        <w:t xml:space="preserve">s an injury that happens in one of our locations </w:t>
      </w:r>
      <w:r w:rsidR="007076C7" w:rsidRPr="0092607B">
        <w:t xml:space="preserve">the Regional Manager is </w:t>
      </w:r>
      <w:r w:rsidR="00E65473" w:rsidRPr="0092607B">
        <w:t>required to send the information to Ethan Powell and copy the Zone and Mark Allen</w:t>
      </w:r>
      <w:r w:rsidR="000E16ED">
        <w:t xml:space="preserve"> as soon as they have been notified.</w:t>
      </w:r>
    </w:p>
    <w:p w14:paraId="457C8C6F" w14:textId="2287089D" w:rsidR="00753085" w:rsidRDefault="000E16ED" w:rsidP="00884779">
      <w:pPr>
        <w:pStyle w:val="ListParagraph"/>
        <w:numPr>
          <w:ilvl w:val="0"/>
          <w:numId w:val="12"/>
        </w:numPr>
        <w:tabs>
          <w:tab w:val="left" w:pos="1584"/>
        </w:tabs>
      </w:pPr>
      <w:r>
        <w:t xml:space="preserve">If there have been no injuries </w:t>
      </w:r>
      <w:r w:rsidR="00002220">
        <w:t xml:space="preserve">in the region the RM will still be required to send reporting to Ethan Powell </w:t>
      </w:r>
      <w:r w:rsidR="005A144D">
        <w:t>Mon. and Thurs stating “No injury’s in the region”</w:t>
      </w:r>
    </w:p>
    <w:p w14:paraId="21A35C62" w14:textId="4260EBF0" w:rsidR="00884779" w:rsidRDefault="00884779" w:rsidP="00884779">
      <w:pPr>
        <w:pStyle w:val="ListParagraph"/>
        <w:numPr>
          <w:ilvl w:val="0"/>
          <w:numId w:val="12"/>
        </w:numPr>
        <w:tabs>
          <w:tab w:val="left" w:pos="1584"/>
        </w:tabs>
      </w:pPr>
      <w:r>
        <w:t>The store Manager will be notified twice a week by a member of Service Ops with the amount of days the Retail channel has gone without a recordable injury. The Manager needs to erase the old amount and replace it with the new days without injury. This will continue un</w:t>
      </w:r>
      <w:r w:rsidR="00AD1275">
        <w:t>less</w:t>
      </w:r>
      <w:r>
        <w:t xml:space="preserve"> an injury has been report</w:t>
      </w:r>
      <w:r w:rsidR="00941663">
        <w:t>ed</w:t>
      </w:r>
      <w:r>
        <w:t>. At that point we start over again.</w:t>
      </w:r>
    </w:p>
    <w:p w14:paraId="15B56D36" w14:textId="77777777" w:rsidR="00941663" w:rsidRDefault="00941663" w:rsidP="00941663">
      <w:pPr>
        <w:tabs>
          <w:tab w:val="left" w:pos="1584"/>
        </w:tabs>
      </w:pPr>
    </w:p>
    <w:p w14:paraId="319831B3" w14:textId="3A978AAD" w:rsidR="00506BC0" w:rsidRDefault="00941663" w:rsidP="00396D5E">
      <w:pPr>
        <w:tabs>
          <w:tab w:val="left" w:pos="1584"/>
        </w:tabs>
        <w:rPr>
          <w:b/>
        </w:rPr>
      </w:pPr>
      <w:r w:rsidRPr="00941663">
        <w:rPr>
          <w:b/>
        </w:rPr>
        <w:t>Goal</w:t>
      </w:r>
      <w:r w:rsidR="00506BC0">
        <w:rPr>
          <w:b/>
        </w:rPr>
        <w:t>:</w:t>
      </w:r>
      <w:r w:rsidR="00396D5E">
        <w:rPr>
          <w:b/>
        </w:rPr>
        <w:t xml:space="preserve">  </w:t>
      </w:r>
      <w:r w:rsidR="00506BC0">
        <w:rPr>
          <w:b/>
        </w:rPr>
        <w:t xml:space="preserve">The goal is to get everyone working towards the </w:t>
      </w:r>
      <w:r w:rsidR="00B11550">
        <w:rPr>
          <w:b/>
        </w:rPr>
        <w:t>same target and that</w:t>
      </w:r>
      <w:r w:rsidR="0092209B">
        <w:rPr>
          <w:b/>
        </w:rPr>
        <w:t>’</w:t>
      </w:r>
      <w:r w:rsidR="00826C81">
        <w:rPr>
          <w:b/>
        </w:rPr>
        <w:t xml:space="preserve">s </w:t>
      </w:r>
      <w:r w:rsidR="00C82766">
        <w:rPr>
          <w:b/>
        </w:rPr>
        <w:tab/>
      </w:r>
      <w:r w:rsidR="00C82766">
        <w:rPr>
          <w:b/>
        </w:rPr>
        <w:tab/>
      </w:r>
      <w:r w:rsidR="00C82766">
        <w:rPr>
          <w:b/>
        </w:rPr>
        <w:tab/>
      </w:r>
      <w:r w:rsidR="00C82766">
        <w:rPr>
          <w:b/>
        </w:rPr>
        <w:tab/>
      </w:r>
      <w:r w:rsidR="00C82766">
        <w:rPr>
          <w:b/>
        </w:rPr>
        <w:tab/>
      </w:r>
      <w:r w:rsidR="00B11550">
        <w:rPr>
          <w:b/>
        </w:rPr>
        <w:t xml:space="preserve"> </w:t>
      </w:r>
      <w:r w:rsidR="00367E6C">
        <w:rPr>
          <w:b/>
        </w:rPr>
        <w:t>“Safety and Ethics Always”</w:t>
      </w:r>
      <w:r w:rsidR="00BA3F1F">
        <w:rPr>
          <w:b/>
        </w:rPr>
        <w:t xml:space="preserve"> and keep our employees safe</w:t>
      </w:r>
      <w:r w:rsidR="0092209B">
        <w:rPr>
          <w:b/>
        </w:rPr>
        <w:t xml:space="preserve"> at all times.</w:t>
      </w:r>
    </w:p>
    <w:p w14:paraId="64330042" w14:textId="770CBAAF" w:rsidR="0092209B" w:rsidRDefault="0092209B" w:rsidP="0092209B">
      <w:pPr>
        <w:tabs>
          <w:tab w:val="left" w:pos="1584"/>
        </w:tabs>
        <w:rPr>
          <w:b/>
        </w:rPr>
      </w:pPr>
      <w:r>
        <w:rPr>
          <w:b/>
        </w:rPr>
        <w:t>Note:  Stores that have fin</w:t>
      </w:r>
      <w:r w:rsidR="00372485">
        <w:rPr>
          <w:b/>
        </w:rPr>
        <w:t xml:space="preserve">ished 30 days without a recordable injury are still eligible for the </w:t>
      </w:r>
      <w:r w:rsidR="00E3312A">
        <w:rPr>
          <w:b/>
        </w:rPr>
        <w:t>Pizza lunch for the teams.</w:t>
      </w:r>
    </w:p>
    <w:p w14:paraId="4C1AA8C3" w14:textId="35C9276B" w:rsidR="00396D5E" w:rsidRDefault="00396D5E" w:rsidP="0092209B">
      <w:pPr>
        <w:tabs>
          <w:tab w:val="left" w:pos="1584"/>
        </w:tabs>
        <w:rPr>
          <w:b/>
        </w:rPr>
      </w:pPr>
    </w:p>
    <w:p w14:paraId="5609F378" w14:textId="12D24FD1" w:rsidR="00396D5E" w:rsidRPr="00941663" w:rsidRDefault="007D373C" w:rsidP="0092209B">
      <w:pPr>
        <w:tabs>
          <w:tab w:val="left" w:pos="1584"/>
        </w:tabs>
        <w:rPr>
          <w:b/>
        </w:rPr>
      </w:pPr>
      <w:r>
        <w:rPr>
          <w:b/>
          <w:noProof/>
        </w:rPr>
        <w:drawing>
          <wp:inline distT="0" distB="0" distL="0" distR="0" wp14:anchorId="294CC7B0" wp14:editId="311AE941">
            <wp:extent cx="1000125" cy="1000125"/>
            <wp:effectExtent l="0" t="0" r="9525" b="9525"/>
            <wp:docPr id="1" name="Picture 1" descr="C:\Users\mallen\AppData\Local\Microsoft\Windows\INetCache\Content.MSO\882CDE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en\AppData\Local\Microsoft\Windows\INetCache\Content.MSO\882CDE2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D5E" w:rsidRPr="00941663" w:rsidSect="00555C7D">
      <w:headerReference w:type="default" r:id="rId8"/>
      <w:pgSz w:w="12240" w:h="15840"/>
      <w:pgMar w:top="1440" w:right="72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2266" w14:textId="77777777" w:rsidR="0058632D" w:rsidRDefault="0058632D" w:rsidP="00555C7D">
      <w:pPr>
        <w:spacing w:after="0"/>
      </w:pPr>
      <w:r>
        <w:separator/>
      </w:r>
    </w:p>
  </w:endnote>
  <w:endnote w:type="continuationSeparator" w:id="0">
    <w:p w14:paraId="308F1C3E" w14:textId="77777777" w:rsidR="0058632D" w:rsidRDefault="0058632D" w:rsidP="00555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B142" w14:textId="77777777" w:rsidR="0058632D" w:rsidRDefault="0058632D" w:rsidP="00555C7D">
      <w:pPr>
        <w:spacing w:after="0"/>
      </w:pPr>
      <w:r>
        <w:separator/>
      </w:r>
    </w:p>
  </w:footnote>
  <w:footnote w:type="continuationSeparator" w:id="0">
    <w:p w14:paraId="4F4C6D6E" w14:textId="77777777" w:rsidR="0058632D" w:rsidRDefault="0058632D" w:rsidP="00555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00EC" w14:textId="7F6273DC" w:rsidR="00555C7D" w:rsidRPr="00555C7D" w:rsidRDefault="00555C7D" w:rsidP="00555C7D">
    <w:pPr>
      <w:pStyle w:val="Header"/>
      <w:tabs>
        <w:tab w:val="left" w:pos="9360"/>
      </w:tabs>
      <w:ind w:left="-1440" w:right="-630"/>
    </w:pPr>
    <w:r>
      <w:rPr>
        <w:noProof/>
      </w:rPr>
      <w:t xml:space="preserve"> </w:t>
    </w:r>
    <w:r w:rsidR="00A50A1F">
      <w:rPr>
        <w:noProof/>
      </w:rPr>
      <w:t xml:space="preserve">  </w:t>
    </w:r>
    <w:r w:rsidR="001E5625">
      <w:rPr>
        <w:noProof/>
      </w:rPr>
      <w:t xml:space="preserve">             </w:t>
    </w:r>
    <w:r w:rsidR="001E5625">
      <w:rPr>
        <w:noProof/>
      </w:rPr>
      <w:drawing>
        <wp:inline distT="0" distB="0" distL="0" distR="0" wp14:anchorId="1348FEEF" wp14:editId="7268E4D2">
          <wp:extent cx="1255551" cy="359925"/>
          <wp:effectExtent l="0" t="0" r="1905" b="254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551" cy="35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0A1F">
      <w:rPr>
        <w:noProof/>
      </w:rPr>
      <w:t xml:space="preserve">   </w:t>
    </w:r>
    <w:r>
      <w:rPr>
        <w:noProof/>
      </w:rPr>
      <w:drawing>
        <wp:inline distT="0" distB="0" distL="0" distR="0" wp14:anchorId="554B00EF" wp14:editId="554B00F0">
          <wp:extent cx="1155700" cy="378229"/>
          <wp:effectExtent l="0" t="0" r="635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46" cy="42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="00B135C2">
      <w:rPr>
        <w:noProof/>
      </w:rPr>
      <w:drawing>
        <wp:inline distT="0" distB="0" distL="0" distR="0" wp14:anchorId="554B00F1" wp14:editId="554B00F2">
          <wp:extent cx="2597285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P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648" cy="46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4B00F3" wp14:editId="554B00F4">
          <wp:extent cx="1130300" cy="40408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I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49" cy="406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1DEB"/>
    <w:multiLevelType w:val="hybridMultilevel"/>
    <w:tmpl w:val="F612AEC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1DDC253C"/>
    <w:multiLevelType w:val="hybridMultilevel"/>
    <w:tmpl w:val="C0A8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6ADA"/>
    <w:multiLevelType w:val="hybridMultilevel"/>
    <w:tmpl w:val="F9EEDEFA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" w15:restartNumberingAfterBreak="0">
    <w:nsid w:val="2ABA622F"/>
    <w:multiLevelType w:val="hybridMultilevel"/>
    <w:tmpl w:val="DD56F01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2CCE2771"/>
    <w:multiLevelType w:val="hybridMultilevel"/>
    <w:tmpl w:val="244258CC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5" w15:restartNumberingAfterBreak="0">
    <w:nsid w:val="2FAE583E"/>
    <w:multiLevelType w:val="hybridMultilevel"/>
    <w:tmpl w:val="3C60BF2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370E648F"/>
    <w:multiLevelType w:val="hybridMultilevel"/>
    <w:tmpl w:val="B3F69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4B5406"/>
    <w:multiLevelType w:val="hybridMultilevel"/>
    <w:tmpl w:val="47A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17A60"/>
    <w:multiLevelType w:val="hybridMultilevel"/>
    <w:tmpl w:val="2AD0E9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814CC"/>
    <w:multiLevelType w:val="hybridMultilevel"/>
    <w:tmpl w:val="2CC637DC"/>
    <w:lvl w:ilvl="0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 w15:restartNumberingAfterBreak="0">
    <w:nsid w:val="6C2879DB"/>
    <w:multiLevelType w:val="hybridMultilevel"/>
    <w:tmpl w:val="470623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7D"/>
    <w:rsid w:val="00001797"/>
    <w:rsid w:val="00002220"/>
    <w:rsid w:val="00037571"/>
    <w:rsid w:val="0007010C"/>
    <w:rsid w:val="000707AD"/>
    <w:rsid w:val="00071B6A"/>
    <w:rsid w:val="000A1A6C"/>
    <w:rsid w:val="000B4FA6"/>
    <w:rsid w:val="000B5EF8"/>
    <w:rsid w:val="000C5494"/>
    <w:rsid w:val="000C6EE1"/>
    <w:rsid w:val="000E16ED"/>
    <w:rsid w:val="000F19D1"/>
    <w:rsid w:val="000F51C6"/>
    <w:rsid w:val="001118C8"/>
    <w:rsid w:val="001129E1"/>
    <w:rsid w:val="00143F4C"/>
    <w:rsid w:val="00151B37"/>
    <w:rsid w:val="00153946"/>
    <w:rsid w:val="00156623"/>
    <w:rsid w:val="00163A7F"/>
    <w:rsid w:val="0017379A"/>
    <w:rsid w:val="001A15EF"/>
    <w:rsid w:val="001A4864"/>
    <w:rsid w:val="001B4243"/>
    <w:rsid w:val="001C0CCA"/>
    <w:rsid w:val="001C792E"/>
    <w:rsid w:val="001D5982"/>
    <w:rsid w:val="001D61D2"/>
    <w:rsid w:val="001E5625"/>
    <w:rsid w:val="00201336"/>
    <w:rsid w:val="00205ADA"/>
    <w:rsid w:val="002073C0"/>
    <w:rsid w:val="00217E6A"/>
    <w:rsid w:val="0022474F"/>
    <w:rsid w:val="00234CD5"/>
    <w:rsid w:val="00240671"/>
    <w:rsid w:val="002477EE"/>
    <w:rsid w:val="00262BFC"/>
    <w:rsid w:val="00274F28"/>
    <w:rsid w:val="00296207"/>
    <w:rsid w:val="002B1990"/>
    <w:rsid w:val="002B2E10"/>
    <w:rsid w:val="002B6091"/>
    <w:rsid w:val="002B6FBC"/>
    <w:rsid w:val="002C5DD2"/>
    <w:rsid w:val="002D7ABC"/>
    <w:rsid w:val="00351867"/>
    <w:rsid w:val="0035460B"/>
    <w:rsid w:val="00367E6C"/>
    <w:rsid w:val="00372485"/>
    <w:rsid w:val="003725E4"/>
    <w:rsid w:val="00381CA9"/>
    <w:rsid w:val="00396D5E"/>
    <w:rsid w:val="00397387"/>
    <w:rsid w:val="003B7B96"/>
    <w:rsid w:val="003C1935"/>
    <w:rsid w:val="003F018A"/>
    <w:rsid w:val="003F7408"/>
    <w:rsid w:val="00417B8E"/>
    <w:rsid w:val="00432959"/>
    <w:rsid w:val="0045577B"/>
    <w:rsid w:val="004B1E6E"/>
    <w:rsid w:val="004B545E"/>
    <w:rsid w:val="004D0359"/>
    <w:rsid w:val="004D6CA2"/>
    <w:rsid w:val="004E5762"/>
    <w:rsid w:val="004E7B3E"/>
    <w:rsid w:val="00502714"/>
    <w:rsid w:val="00503742"/>
    <w:rsid w:val="00506BC0"/>
    <w:rsid w:val="0052536D"/>
    <w:rsid w:val="005414F2"/>
    <w:rsid w:val="00553406"/>
    <w:rsid w:val="00555C7D"/>
    <w:rsid w:val="0057172A"/>
    <w:rsid w:val="0058632D"/>
    <w:rsid w:val="005A144D"/>
    <w:rsid w:val="005A278C"/>
    <w:rsid w:val="005A6A47"/>
    <w:rsid w:val="005B0A7F"/>
    <w:rsid w:val="005B7170"/>
    <w:rsid w:val="005F51B3"/>
    <w:rsid w:val="006124B3"/>
    <w:rsid w:val="0063407D"/>
    <w:rsid w:val="00642F7A"/>
    <w:rsid w:val="00646AD9"/>
    <w:rsid w:val="00663577"/>
    <w:rsid w:val="00664D81"/>
    <w:rsid w:val="00680358"/>
    <w:rsid w:val="00684503"/>
    <w:rsid w:val="00692E91"/>
    <w:rsid w:val="00696530"/>
    <w:rsid w:val="006A389D"/>
    <w:rsid w:val="006C079D"/>
    <w:rsid w:val="006C11E3"/>
    <w:rsid w:val="006D2128"/>
    <w:rsid w:val="006E0389"/>
    <w:rsid w:val="006E43C0"/>
    <w:rsid w:val="007034F8"/>
    <w:rsid w:val="007076C7"/>
    <w:rsid w:val="0074289A"/>
    <w:rsid w:val="00743984"/>
    <w:rsid w:val="00753085"/>
    <w:rsid w:val="007532F7"/>
    <w:rsid w:val="007762A9"/>
    <w:rsid w:val="0077718F"/>
    <w:rsid w:val="00782233"/>
    <w:rsid w:val="007839C4"/>
    <w:rsid w:val="007864F1"/>
    <w:rsid w:val="007A352D"/>
    <w:rsid w:val="007A3B19"/>
    <w:rsid w:val="007B22ED"/>
    <w:rsid w:val="007B4334"/>
    <w:rsid w:val="007C124F"/>
    <w:rsid w:val="007D373C"/>
    <w:rsid w:val="007D5578"/>
    <w:rsid w:val="007E22C8"/>
    <w:rsid w:val="007E404D"/>
    <w:rsid w:val="007E6748"/>
    <w:rsid w:val="00814F29"/>
    <w:rsid w:val="00826C81"/>
    <w:rsid w:val="008338A3"/>
    <w:rsid w:val="008758A5"/>
    <w:rsid w:val="00884265"/>
    <w:rsid w:val="00884779"/>
    <w:rsid w:val="00885CB3"/>
    <w:rsid w:val="00896B59"/>
    <w:rsid w:val="008A16BA"/>
    <w:rsid w:val="008B1FF4"/>
    <w:rsid w:val="008C5C88"/>
    <w:rsid w:val="008D437A"/>
    <w:rsid w:val="00915FE2"/>
    <w:rsid w:val="00922062"/>
    <w:rsid w:val="0092209B"/>
    <w:rsid w:val="00924794"/>
    <w:rsid w:val="0092607B"/>
    <w:rsid w:val="00941663"/>
    <w:rsid w:val="00941D01"/>
    <w:rsid w:val="00956701"/>
    <w:rsid w:val="0097407D"/>
    <w:rsid w:val="009D2122"/>
    <w:rsid w:val="009D3C3F"/>
    <w:rsid w:val="009E589C"/>
    <w:rsid w:val="009F7B91"/>
    <w:rsid w:val="00A36D30"/>
    <w:rsid w:val="00A4107D"/>
    <w:rsid w:val="00A50A1F"/>
    <w:rsid w:val="00A51AE5"/>
    <w:rsid w:val="00A63A35"/>
    <w:rsid w:val="00AD1275"/>
    <w:rsid w:val="00AE0231"/>
    <w:rsid w:val="00B11550"/>
    <w:rsid w:val="00B135C2"/>
    <w:rsid w:val="00B7006C"/>
    <w:rsid w:val="00BA3F1F"/>
    <w:rsid w:val="00BB00F6"/>
    <w:rsid w:val="00BC192B"/>
    <w:rsid w:val="00BE308A"/>
    <w:rsid w:val="00BF2047"/>
    <w:rsid w:val="00C462EE"/>
    <w:rsid w:val="00C526F0"/>
    <w:rsid w:val="00C60D6C"/>
    <w:rsid w:val="00C64ECC"/>
    <w:rsid w:val="00C663DC"/>
    <w:rsid w:val="00C7083B"/>
    <w:rsid w:val="00C74660"/>
    <w:rsid w:val="00C82766"/>
    <w:rsid w:val="00C9781B"/>
    <w:rsid w:val="00CA560B"/>
    <w:rsid w:val="00CC1A6D"/>
    <w:rsid w:val="00CE5704"/>
    <w:rsid w:val="00CE7222"/>
    <w:rsid w:val="00D156D0"/>
    <w:rsid w:val="00D43735"/>
    <w:rsid w:val="00D45893"/>
    <w:rsid w:val="00D507C9"/>
    <w:rsid w:val="00D86BB5"/>
    <w:rsid w:val="00DA4486"/>
    <w:rsid w:val="00DB2CE7"/>
    <w:rsid w:val="00DB6FDF"/>
    <w:rsid w:val="00DE3250"/>
    <w:rsid w:val="00DF7317"/>
    <w:rsid w:val="00E171C6"/>
    <w:rsid w:val="00E23713"/>
    <w:rsid w:val="00E3312A"/>
    <w:rsid w:val="00E35349"/>
    <w:rsid w:val="00E544E0"/>
    <w:rsid w:val="00E54AE2"/>
    <w:rsid w:val="00E65473"/>
    <w:rsid w:val="00E7062F"/>
    <w:rsid w:val="00E7687E"/>
    <w:rsid w:val="00E818A3"/>
    <w:rsid w:val="00E9056C"/>
    <w:rsid w:val="00E95414"/>
    <w:rsid w:val="00EA542E"/>
    <w:rsid w:val="00ED2DD3"/>
    <w:rsid w:val="00EF0207"/>
    <w:rsid w:val="00EF6A5E"/>
    <w:rsid w:val="00F261C8"/>
    <w:rsid w:val="00F30F6E"/>
    <w:rsid w:val="00F44D8E"/>
    <w:rsid w:val="00F4598D"/>
    <w:rsid w:val="00F51F2F"/>
    <w:rsid w:val="00F53A38"/>
    <w:rsid w:val="00F53B5A"/>
    <w:rsid w:val="00F81D23"/>
    <w:rsid w:val="00F8635A"/>
    <w:rsid w:val="00F8666B"/>
    <w:rsid w:val="00FA24C3"/>
    <w:rsid w:val="00FA4C64"/>
    <w:rsid w:val="00FD38B5"/>
    <w:rsid w:val="00FE086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B00B1"/>
  <w15:chartTrackingRefBased/>
  <w15:docId w15:val="{0E45E068-DB0B-43CD-8F6A-65D45B44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C7D"/>
  </w:style>
  <w:style w:type="paragraph" w:styleId="Footer">
    <w:name w:val="footer"/>
    <w:basedOn w:val="Normal"/>
    <w:link w:val="FooterChar"/>
    <w:uiPriority w:val="99"/>
    <w:unhideWhenUsed/>
    <w:rsid w:val="00555C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C7D"/>
  </w:style>
  <w:style w:type="table" w:styleId="TableGrid">
    <w:name w:val="Table Grid"/>
    <w:basedOn w:val="TableNormal"/>
    <w:uiPriority w:val="39"/>
    <w:rsid w:val="00555C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A1F"/>
    <w:pPr>
      <w:spacing w:after="0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Boone</dc:creator>
  <cp:keywords/>
  <dc:description/>
  <cp:lastModifiedBy>Mark Allen</cp:lastModifiedBy>
  <cp:revision>45</cp:revision>
  <dcterms:created xsi:type="dcterms:W3CDTF">2019-06-26T15:34:00Z</dcterms:created>
  <dcterms:modified xsi:type="dcterms:W3CDTF">2019-06-26T16:05:00Z</dcterms:modified>
</cp:coreProperties>
</file>